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AF0F1" w14:textId="77777777" w:rsidR="0036034A" w:rsidRDefault="0036034A" w:rsidP="001B3193">
      <w:pPr>
        <w:spacing w:after="0"/>
        <w:jc w:val="both"/>
        <w:rPr>
          <w:rFonts w:ascii="Arial" w:hAnsi="Arial" w:cs="Arial"/>
          <w:b/>
          <w:bCs/>
          <w:sz w:val="24"/>
          <w:szCs w:val="24"/>
        </w:rPr>
      </w:pPr>
    </w:p>
    <w:p w14:paraId="2FA674A3" w14:textId="325BFA37" w:rsidR="001B3193" w:rsidRPr="001B3193" w:rsidRDefault="001B3193" w:rsidP="001B3193">
      <w:pPr>
        <w:spacing w:after="0"/>
        <w:jc w:val="both"/>
        <w:rPr>
          <w:rFonts w:ascii="Arial" w:hAnsi="Arial" w:cs="Arial"/>
          <w:b/>
          <w:bCs/>
          <w:sz w:val="24"/>
          <w:szCs w:val="24"/>
        </w:rPr>
      </w:pPr>
      <w:r w:rsidRPr="001B3193">
        <w:rPr>
          <w:rFonts w:ascii="Arial" w:hAnsi="Arial" w:cs="Arial"/>
          <w:b/>
          <w:bCs/>
          <w:sz w:val="24"/>
          <w:szCs w:val="24"/>
        </w:rPr>
        <w:t>Atribuciones</w:t>
      </w:r>
      <w:r>
        <w:rPr>
          <w:rFonts w:ascii="Arial" w:hAnsi="Arial" w:cs="Arial"/>
          <w:b/>
          <w:bCs/>
          <w:sz w:val="24"/>
          <w:szCs w:val="24"/>
        </w:rPr>
        <w:t>:</w:t>
      </w:r>
    </w:p>
    <w:p w14:paraId="59000F30" w14:textId="77777777" w:rsidR="001B3193" w:rsidRDefault="001B3193" w:rsidP="001B3193">
      <w:pPr>
        <w:pStyle w:val="Prrafodelista"/>
        <w:spacing w:after="0"/>
        <w:ind w:left="927"/>
        <w:jc w:val="both"/>
        <w:rPr>
          <w:rFonts w:ascii="Arial" w:hAnsi="Arial" w:cs="Arial"/>
          <w:b/>
          <w:bCs/>
          <w:sz w:val="24"/>
          <w:szCs w:val="24"/>
        </w:rPr>
      </w:pPr>
    </w:p>
    <w:p w14:paraId="215B44F0" w14:textId="1FD567E9" w:rsidR="001B3193" w:rsidRPr="001C6498" w:rsidRDefault="001B3193" w:rsidP="001B3193">
      <w:pPr>
        <w:pStyle w:val="Prrafodelista"/>
        <w:numPr>
          <w:ilvl w:val="0"/>
          <w:numId w:val="1"/>
        </w:numPr>
        <w:spacing w:after="0"/>
        <w:jc w:val="both"/>
        <w:rPr>
          <w:rFonts w:ascii="Arial" w:hAnsi="Arial" w:cs="Arial"/>
          <w:b/>
          <w:bCs/>
          <w:sz w:val="24"/>
          <w:szCs w:val="24"/>
        </w:rPr>
      </w:pPr>
      <w:r w:rsidRPr="001C6498">
        <w:rPr>
          <w:rFonts w:ascii="Arial" w:hAnsi="Arial" w:cs="Arial"/>
          <w:b/>
          <w:bCs/>
          <w:sz w:val="24"/>
          <w:szCs w:val="24"/>
        </w:rPr>
        <w:t xml:space="preserve">Ley para la </w:t>
      </w:r>
      <w:r>
        <w:rPr>
          <w:rFonts w:ascii="Arial" w:hAnsi="Arial" w:cs="Arial"/>
          <w:b/>
          <w:bCs/>
          <w:sz w:val="24"/>
          <w:szCs w:val="24"/>
        </w:rPr>
        <w:t>F</w:t>
      </w:r>
      <w:r w:rsidRPr="001C6498">
        <w:rPr>
          <w:rFonts w:ascii="Arial" w:hAnsi="Arial" w:cs="Arial"/>
          <w:b/>
          <w:bCs/>
          <w:sz w:val="24"/>
          <w:szCs w:val="24"/>
        </w:rPr>
        <w:t xml:space="preserve">amilia del </w:t>
      </w:r>
      <w:r>
        <w:rPr>
          <w:rFonts w:ascii="Arial" w:hAnsi="Arial" w:cs="Arial"/>
          <w:b/>
          <w:bCs/>
          <w:sz w:val="24"/>
          <w:szCs w:val="24"/>
        </w:rPr>
        <w:t>E</w:t>
      </w:r>
      <w:r w:rsidRPr="001C6498">
        <w:rPr>
          <w:rFonts w:ascii="Arial" w:hAnsi="Arial" w:cs="Arial"/>
          <w:b/>
          <w:bCs/>
          <w:sz w:val="24"/>
          <w:szCs w:val="24"/>
        </w:rPr>
        <w:t xml:space="preserve">stado de </w:t>
      </w:r>
      <w:r>
        <w:rPr>
          <w:rFonts w:ascii="Arial" w:hAnsi="Arial" w:cs="Arial"/>
          <w:b/>
          <w:bCs/>
          <w:sz w:val="24"/>
          <w:szCs w:val="24"/>
        </w:rPr>
        <w:t>H</w:t>
      </w:r>
      <w:r w:rsidRPr="001C6498">
        <w:rPr>
          <w:rFonts w:ascii="Arial" w:hAnsi="Arial" w:cs="Arial"/>
          <w:b/>
          <w:bCs/>
          <w:sz w:val="24"/>
          <w:szCs w:val="24"/>
        </w:rPr>
        <w:t xml:space="preserve">idalgo. </w:t>
      </w:r>
    </w:p>
    <w:p w14:paraId="45705D8A" w14:textId="77777777" w:rsidR="001B3193" w:rsidRPr="004F6683" w:rsidRDefault="001B3193" w:rsidP="001B3193">
      <w:pPr>
        <w:spacing w:after="0"/>
        <w:jc w:val="both"/>
        <w:rPr>
          <w:rFonts w:ascii="Arial" w:hAnsi="Arial" w:cs="Arial"/>
          <w:sz w:val="24"/>
          <w:szCs w:val="24"/>
        </w:rPr>
      </w:pPr>
    </w:p>
    <w:p w14:paraId="02C15360" w14:textId="77777777" w:rsidR="001B3193" w:rsidRDefault="001B3193" w:rsidP="001B3193">
      <w:pPr>
        <w:spacing w:after="0"/>
        <w:jc w:val="both"/>
        <w:rPr>
          <w:rFonts w:ascii="Arial" w:hAnsi="Arial" w:cs="Arial"/>
          <w:sz w:val="24"/>
          <w:szCs w:val="24"/>
        </w:rPr>
      </w:pPr>
      <w:r w:rsidRPr="004F6683">
        <w:rPr>
          <w:rFonts w:ascii="Arial" w:hAnsi="Arial" w:cs="Arial"/>
          <w:b/>
          <w:bCs/>
          <w:sz w:val="24"/>
          <w:szCs w:val="24"/>
        </w:rPr>
        <w:t>Artículo 392.-</w:t>
      </w:r>
      <w:r w:rsidRPr="004F6683">
        <w:rPr>
          <w:rFonts w:ascii="Arial" w:hAnsi="Arial" w:cs="Arial"/>
          <w:sz w:val="24"/>
          <w:szCs w:val="24"/>
        </w:rPr>
        <w:t xml:space="preserve"> El Registro del Estado Familiar como una institución administrativa estará a cargo del Poder Ejecutivo del Estado a través de la dependencia que señale la Ley Orgánica de la Administración Pública Estatal. Ejerce su función por sí y a través de los Municipios.</w:t>
      </w:r>
    </w:p>
    <w:p w14:paraId="4DA82DFD" w14:textId="77777777" w:rsidR="001B3193" w:rsidRDefault="001B3193" w:rsidP="001B3193">
      <w:pPr>
        <w:spacing w:after="0"/>
        <w:jc w:val="both"/>
        <w:rPr>
          <w:rFonts w:ascii="Arial" w:hAnsi="Arial" w:cs="Arial"/>
          <w:sz w:val="24"/>
          <w:szCs w:val="24"/>
        </w:rPr>
      </w:pPr>
    </w:p>
    <w:p w14:paraId="47F931E2" w14:textId="77777777" w:rsidR="001B3193" w:rsidRDefault="001B3193" w:rsidP="001B3193">
      <w:pPr>
        <w:spacing w:after="0"/>
        <w:jc w:val="both"/>
        <w:rPr>
          <w:rFonts w:ascii="Arial" w:hAnsi="Arial" w:cs="Arial"/>
          <w:sz w:val="24"/>
          <w:szCs w:val="24"/>
        </w:rPr>
      </w:pPr>
      <w:r w:rsidRPr="004F6683">
        <w:rPr>
          <w:rFonts w:ascii="Arial" w:hAnsi="Arial" w:cs="Arial"/>
          <w:b/>
          <w:bCs/>
          <w:sz w:val="24"/>
          <w:szCs w:val="24"/>
        </w:rPr>
        <w:t>Artículo 393.-</w:t>
      </w:r>
      <w:r w:rsidRPr="004F6683">
        <w:rPr>
          <w:rFonts w:ascii="Arial" w:hAnsi="Arial" w:cs="Arial"/>
          <w:sz w:val="24"/>
          <w:szCs w:val="24"/>
        </w:rPr>
        <w:t xml:space="preserve"> En el Estado Libre y Soberano de Hidalgo, estará a cargo de los Oficiales del Registro del Estado Familiar, con facultades, atribuciones, obligaciones y derechos para constatar y autorizar los actos del estado familiar y extender las actas relativas a nacimiento, reconocimiento de hijos, matrimonio, concubinato, divorcio, tutela, emancipación y muerte de los mexicanos y extranjeros residentes en la demarcación mencionada, inscribir las ejecutorias que declaren la ausencia, la presunción de muerte, la de haber perdido la capacidad legal para administrar bienes y las resoluciones definitivas del estado familiar de las personas, las cuales se asentarán en documentos especiales que se denominarán "Formas del Registro del Estado Familiar", de las que se llevará un duplicado en la Dirección del Registro </w:t>
      </w:r>
    </w:p>
    <w:p w14:paraId="3DFB75F5" w14:textId="77777777" w:rsidR="001B3193" w:rsidRDefault="001B3193" w:rsidP="001B3193">
      <w:pPr>
        <w:spacing w:after="0"/>
        <w:jc w:val="both"/>
        <w:rPr>
          <w:rFonts w:ascii="Arial" w:hAnsi="Arial" w:cs="Arial"/>
          <w:sz w:val="24"/>
          <w:szCs w:val="24"/>
        </w:rPr>
      </w:pPr>
      <w:r w:rsidRPr="004F6683">
        <w:rPr>
          <w:rFonts w:ascii="Arial" w:hAnsi="Arial" w:cs="Arial"/>
          <w:sz w:val="24"/>
          <w:szCs w:val="24"/>
        </w:rPr>
        <w:t xml:space="preserve">del Estado Familiar. </w:t>
      </w:r>
    </w:p>
    <w:p w14:paraId="72E8FD16" w14:textId="77777777" w:rsidR="001B3193" w:rsidRDefault="001B3193" w:rsidP="001B3193">
      <w:pPr>
        <w:spacing w:after="0"/>
        <w:jc w:val="both"/>
        <w:rPr>
          <w:rFonts w:ascii="Arial" w:hAnsi="Arial" w:cs="Arial"/>
          <w:sz w:val="24"/>
          <w:szCs w:val="24"/>
        </w:rPr>
      </w:pPr>
    </w:p>
    <w:p w14:paraId="7BF86EFB" w14:textId="77777777" w:rsidR="001B3193" w:rsidRDefault="001B3193" w:rsidP="001B3193">
      <w:pPr>
        <w:spacing w:after="0"/>
        <w:jc w:val="both"/>
        <w:rPr>
          <w:rFonts w:ascii="Arial" w:hAnsi="Arial" w:cs="Arial"/>
          <w:sz w:val="24"/>
          <w:szCs w:val="24"/>
        </w:rPr>
      </w:pPr>
      <w:r w:rsidRPr="001C6498">
        <w:rPr>
          <w:rFonts w:ascii="Arial" w:hAnsi="Arial" w:cs="Arial"/>
          <w:b/>
          <w:bCs/>
          <w:sz w:val="24"/>
          <w:szCs w:val="24"/>
        </w:rPr>
        <w:t>Artículo 394.-</w:t>
      </w:r>
      <w:r w:rsidRPr="004F6683">
        <w:rPr>
          <w:rFonts w:ascii="Arial" w:hAnsi="Arial" w:cs="Arial"/>
          <w:sz w:val="24"/>
          <w:szCs w:val="24"/>
        </w:rPr>
        <w:t xml:space="preserve"> Para asentar las actas, las oficinas del Registro del Estado Familiar tendrán las siguientes formas: de nacimiento, de reconocimiento de hijos, de tutela, de matrimonio, de concubinato, de divorcio, de defunción y el de las inscripciones de las ejecutorias que declaren la ausencia, la presunción de muerte o que se ha perdido la capacidad legal para administrar bienes. </w:t>
      </w:r>
    </w:p>
    <w:p w14:paraId="04C68321" w14:textId="77777777" w:rsidR="001B3193" w:rsidRDefault="001B3193" w:rsidP="001B3193">
      <w:pPr>
        <w:spacing w:after="0"/>
        <w:jc w:val="both"/>
        <w:rPr>
          <w:rFonts w:ascii="Arial" w:hAnsi="Arial" w:cs="Arial"/>
          <w:sz w:val="24"/>
          <w:szCs w:val="24"/>
        </w:rPr>
      </w:pPr>
    </w:p>
    <w:p w14:paraId="4EA14ADA" w14:textId="77777777" w:rsidR="001B3193" w:rsidRDefault="001B3193" w:rsidP="001B3193">
      <w:pPr>
        <w:spacing w:after="0"/>
        <w:jc w:val="both"/>
        <w:rPr>
          <w:rFonts w:ascii="Arial" w:hAnsi="Arial" w:cs="Arial"/>
          <w:sz w:val="24"/>
          <w:szCs w:val="24"/>
        </w:rPr>
      </w:pPr>
      <w:r w:rsidRPr="004F6683">
        <w:rPr>
          <w:rFonts w:ascii="Arial" w:hAnsi="Arial" w:cs="Arial"/>
          <w:sz w:val="24"/>
          <w:szCs w:val="24"/>
        </w:rPr>
        <w:t xml:space="preserve">Toda acta deberá asentarse en las formas que se mencionan en el párrafo anterior, por duplicado. </w:t>
      </w:r>
    </w:p>
    <w:p w14:paraId="1CC15A13" w14:textId="77777777" w:rsidR="001B3193" w:rsidRDefault="001B3193" w:rsidP="001B3193">
      <w:pPr>
        <w:spacing w:after="0"/>
        <w:jc w:val="both"/>
        <w:rPr>
          <w:rFonts w:ascii="Arial" w:hAnsi="Arial" w:cs="Arial"/>
          <w:sz w:val="24"/>
          <w:szCs w:val="24"/>
        </w:rPr>
      </w:pPr>
    </w:p>
    <w:p w14:paraId="40A94C51" w14:textId="77777777" w:rsidR="001B3193" w:rsidRDefault="001B3193" w:rsidP="001B3193">
      <w:pPr>
        <w:spacing w:after="0"/>
        <w:jc w:val="both"/>
        <w:rPr>
          <w:rFonts w:ascii="Arial" w:hAnsi="Arial" w:cs="Arial"/>
          <w:sz w:val="24"/>
          <w:szCs w:val="24"/>
        </w:rPr>
      </w:pPr>
      <w:r w:rsidRPr="004F6683">
        <w:rPr>
          <w:rFonts w:ascii="Arial" w:hAnsi="Arial" w:cs="Arial"/>
          <w:sz w:val="24"/>
          <w:szCs w:val="24"/>
        </w:rPr>
        <w:t>En los casos en que se requiera, el Oficial del Registro del Estado Familiar, está obligado a registrar en el Acta de Nacimiento, el nombre de un individuo, con los caracteres pertenecientes a las lenguas indígenas o algún otro idioma distinto al español.</w:t>
      </w:r>
    </w:p>
    <w:p w14:paraId="0E0BC265" w14:textId="77777777" w:rsidR="005D54C7" w:rsidRDefault="005D54C7" w:rsidP="001B3193">
      <w:pPr>
        <w:spacing w:after="0"/>
      </w:pPr>
    </w:p>
    <w:sectPr w:rsidR="005D54C7">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E4E20" w14:textId="77777777" w:rsidR="0036034A" w:rsidRDefault="0036034A" w:rsidP="0036034A">
      <w:pPr>
        <w:spacing w:after="0" w:line="240" w:lineRule="auto"/>
      </w:pPr>
      <w:r>
        <w:separator/>
      </w:r>
    </w:p>
  </w:endnote>
  <w:endnote w:type="continuationSeparator" w:id="0">
    <w:p w14:paraId="218365D0" w14:textId="77777777" w:rsidR="0036034A" w:rsidRDefault="0036034A" w:rsidP="00360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C28AB" w14:textId="77777777" w:rsidR="0036034A" w:rsidRDefault="0036034A" w:rsidP="0036034A">
      <w:pPr>
        <w:spacing w:after="0" w:line="240" w:lineRule="auto"/>
      </w:pPr>
      <w:r>
        <w:separator/>
      </w:r>
    </w:p>
  </w:footnote>
  <w:footnote w:type="continuationSeparator" w:id="0">
    <w:p w14:paraId="05E656A0" w14:textId="77777777" w:rsidR="0036034A" w:rsidRDefault="0036034A" w:rsidP="00360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685EE" w14:textId="21D5745D" w:rsidR="0036034A" w:rsidRDefault="0036034A">
    <w:pPr>
      <w:pStyle w:val="Encabezado"/>
    </w:pPr>
    <w:r>
      <w:rPr>
        <w:noProof/>
      </w:rPr>
      <w:drawing>
        <wp:inline distT="0" distB="0" distL="0" distR="0" wp14:anchorId="14DDC95D" wp14:editId="1B82A365">
          <wp:extent cx="3188970" cy="1292225"/>
          <wp:effectExtent l="0" t="0" r="0" b="3175"/>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8970" cy="1292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9E6117"/>
    <w:multiLevelType w:val="hybridMultilevel"/>
    <w:tmpl w:val="465CBADC"/>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2640" w:hanging="360"/>
      </w:pPr>
      <w:rPr>
        <w:rFonts w:ascii="Courier New" w:hAnsi="Courier New" w:cs="Courier New" w:hint="default"/>
      </w:rPr>
    </w:lvl>
    <w:lvl w:ilvl="2" w:tplc="080A0005" w:tentative="1">
      <w:start w:val="1"/>
      <w:numFmt w:val="bullet"/>
      <w:lvlText w:val=""/>
      <w:lvlJc w:val="left"/>
      <w:pPr>
        <w:ind w:left="3360" w:hanging="360"/>
      </w:pPr>
      <w:rPr>
        <w:rFonts w:ascii="Wingdings" w:hAnsi="Wingdings" w:hint="default"/>
      </w:rPr>
    </w:lvl>
    <w:lvl w:ilvl="3" w:tplc="080A0001" w:tentative="1">
      <w:start w:val="1"/>
      <w:numFmt w:val="bullet"/>
      <w:lvlText w:val=""/>
      <w:lvlJc w:val="left"/>
      <w:pPr>
        <w:ind w:left="4080" w:hanging="360"/>
      </w:pPr>
      <w:rPr>
        <w:rFonts w:ascii="Symbol" w:hAnsi="Symbol" w:hint="default"/>
      </w:rPr>
    </w:lvl>
    <w:lvl w:ilvl="4" w:tplc="080A0003" w:tentative="1">
      <w:start w:val="1"/>
      <w:numFmt w:val="bullet"/>
      <w:lvlText w:val="o"/>
      <w:lvlJc w:val="left"/>
      <w:pPr>
        <w:ind w:left="4800" w:hanging="360"/>
      </w:pPr>
      <w:rPr>
        <w:rFonts w:ascii="Courier New" w:hAnsi="Courier New" w:cs="Courier New" w:hint="default"/>
      </w:rPr>
    </w:lvl>
    <w:lvl w:ilvl="5" w:tplc="080A0005" w:tentative="1">
      <w:start w:val="1"/>
      <w:numFmt w:val="bullet"/>
      <w:lvlText w:val=""/>
      <w:lvlJc w:val="left"/>
      <w:pPr>
        <w:ind w:left="5520" w:hanging="360"/>
      </w:pPr>
      <w:rPr>
        <w:rFonts w:ascii="Wingdings" w:hAnsi="Wingdings" w:hint="default"/>
      </w:rPr>
    </w:lvl>
    <w:lvl w:ilvl="6" w:tplc="080A0001" w:tentative="1">
      <w:start w:val="1"/>
      <w:numFmt w:val="bullet"/>
      <w:lvlText w:val=""/>
      <w:lvlJc w:val="left"/>
      <w:pPr>
        <w:ind w:left="6240" w:hanging="360"/>
      </w:pPr>
      <w:rPr>
        <w:rFonts w:ascii="Symbol" w:hAnsi="Symbol" w:hint="default"/>
      </w:rPr>
    </w:lvl>
    <w:lvl w:ilvl="7" w:tplc="080A0003" w:tentative="1">
      <w:start w:val="1"/>
      <w:numFmt w:val="bullet"/>
      <w:lvlText w:val="o"/>
      <w:lvlJc w:val="left"/>
      <w:pPr>
        <w:ind w:left="6960" w:hanging="360"/>
      </w:pPr>
      <w:rPr>
        <w:rFonts w:ascii="Courier New" w:hAnsi="Courier New" w:cs="Courier New" w:hint="default"/>
      </w:rPr>
    </w:lvl>
    <w:lvl w:ilvl="8" w:tplc="080A0005" w:tentative="1">
      <w:start w:val="1"/>
      <w:numFmt w:val="bullet"/>
      <w:lvlText w:val=""/>
      <w:lvlJc w:val="left"/>
      <w:pPr>
        <w:ind w:left="76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193"/>
    <w:rsid w:val="001B3193"/>
    <w:rsid w:val="0036034A"/>
    <w:rsid w:val="005D54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CA965"/>
  <w15:chartTrackingRefBased/>
  <w15:docId w15:val="{AD73D364-88C1-4A97-87A6-EB65737F3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19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3193"/>
    <w:pPr>
      <w:ind w:left="720"/>
      <w:contextualSpacing/>
    </w:pPr>
  </w:style>
  <w:style w:type="paragraph" w:styleId="Encabezado">
    <w:name w:val="header"/>
    <w:basedOn w:val="Normal"/>
    <w:link w:val="EncabezadoCar"/>
    <w:uiPriority w:val="99"/>
    <w:unhideWhenUsed/>
    <w:rsid w:val="003603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034A"/>
  </w:style>
  <w:style w:type="paragraph" w:styleId="Piedepgina">
    <w:name w:val="footer"/>
    <w:basedOn w:val="Normal"/>
    <w:link w:val="PiedepginaCar"/>
    <w:uiPriority w:val="99"/>
    <w:unhideWhenUsed/>
    <w:rsid w:val="003603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0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296</Words>
  <Characters>1634</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Oficial del Registro del Estado Familiar</dc:creator>
  <cp:keywords/>
  <dc:description/>
  <cp:lastModifiedBy>Oficial del Registro del Estado Familiar</cp:lastModifiedBy>
  <cp:revision>2</cp:revision>
  <dcterms:created xsi:type="dcterms:W3CDTF">2021-04-14T14:40:00Z</dcterms:created>
  <dcterms:modified xsi:type="dcterms:W3CDTF">2021-04-14T14:46:00Z</dcterms:modified>
</cp:coreProperties>
</file>